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 must be obtained in the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diet low in fat-soluble vitamins will result in a more rapid onset of deficiency symptoms than one low in water-soluble vitamins.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Typically, we absorb a greater percentage of minerals than vitamins.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Poor nutrition, or malnutrition, can result from both inadequate and excessive levels of nutrient intake.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Gastrointestinal bleeding or alcoholism may cause secondary malnutrition.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are 99.9 percent genetically identical, but the 0.1 percent difference in genetic codes makes everyone unique.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Water is a nonessential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 labeled “trans fat-free” could contain 0.4 grams of trans fat and of saturated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4"/>
              <w:gridCol w:w="7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NTLC.BRWN.17.1.2 - Apply knowledge about the elements of nutrition labeling to decisions about the nutritional value of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dietary supplement can legally claim to treat, cure, or prevent a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4"/>
              <w:gridCol w:w="7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NTLC.BRWN.17.1.2 - Apply knowledge about the elements of nutrition labeling to decisions about the nutritional value of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programs designed to improve eating behaviors in school-aged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4"/>
              <w:gridCol w:w="6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Food and Nutrition Programs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NTLC.BRWN.17.1.5 - Identify the basic elements of four public food and nutrition programs.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DASH Eating plan is effective for reducing high blood pressure and risk of some types of cancer, osteoporosis, and heart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0"/>
              <w:gridCol w:w="6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and Health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NTLC.BRWN.17.1.6 - Apply the characteristics of healthful diets to the design of 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six categories of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alcohol, fats, proteins, vitamins, and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fibers, fats, proteins, vitamins, and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proteins, fats, vitamins, minerals, and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proteins, lipids, fiber, water, and 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proteins, fiber, water, alcohol, and lipids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substance is considered an essential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LDL 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linoleic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sucrose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calorie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measure of the amount of energy transferred from food to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measure of the amount of energy inside the body’s fat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serving size of any essential or nonessential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nutrients found to be essential for adequate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any substance that is present in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recommended intake levels of nutrients (intake standards) for planning and assessing diets for healthy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Tolerable Upper Limits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Essential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Maximum Caloric 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Estimated Average Requirement (EAR) refers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intake level estimated to meet the nutrient needs of 98% of healthy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intake value estimated to meet the nutrient needs of half the healthy individuals in a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upper limits of a nutrient estimated to be compatible with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estimated nutrient intake standard for healthy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estimated nutrient intake standard for unhealthy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Complex carbohydrates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glucose, glycogen, and most types of 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glucose, sucrose, and fructose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starches, glycogen, and most types of 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starches, glucose, and sucrose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starches, glycogen, and glucose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two monosaccharides are found in sucrose (table sugar)?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glucose and lactose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glucose and 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glucose and maltose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glucose and fructose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maltose and lactose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Blood sugar is also known as _____, while fruit sugar is also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glucose; fructose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glucose; lactose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lactose; fructose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maltose; lactose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fructose; maltose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digestive enzymes are unable to break down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sucrose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glycogen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alcohol sugars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maltose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with a high glycemic index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 blood glucose control in people with 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elevated levels of blood cholesterol and triglycerides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levels of HDL 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risk of developing type 2 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raise blood glucose levels more than carbohydrates with a low glycemic 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important animal source of carbohydrates is _____ found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lactose;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glucose;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maltose;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lactose;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sucrose; milk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Triglycerides are composed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 glycerol molecules attached to a fatty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 fatty acids attached to a glycerol 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three glycerol molecules attached to a fatty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three fatty acids attached to a glycerol 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three fatty acids attached to three glycerol molecules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substance provides the most energy per 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sucrose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essential fatty acids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linoleic acid and alpha-linolenic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linoleic acid and thromboxane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alpha-linolenic acid and thromboxane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thromboxane and prostaglandin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glycogen and linoleic acid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fat containing one double bond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monosaturated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polysaturated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polyunsaturated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saturated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monounsaturated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LDL cholesterol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lowered by intake of trans-fatty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associated with heart-disease risk when present in high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associated with heart-disease risk when present in low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raised by intake of unsaturated 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unaffected by intake of saturated fatty acids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Hydrogenation makes _____ by adding hydrogen to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oils solid; single bond of their saturated 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oils liquid; single bond of their saturated 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fats liquid; single bond of their saturated 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oils solid; double bond of their unsaturated 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fats solid; double bond of their unsaturated fatty acids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Essential amino acids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produced by the human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be obtained in the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be synthesized from other 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found in all plant protein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constituents of starch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_____ essential amino acids.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combination is an example of complementary proteins?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grains and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grains and dried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seeds and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soybeans and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eggs and onions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Fat-soluble vitamins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stored only for a few weeks by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 vitamins A, D, E,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consumed in very high amounts without causing harmful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stored in the body for months to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immediately metabolized by the body and never stored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vitamin acts as an antioxidant in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thiamin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riboflavin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chemical substances in plants, some of which affect body processes in humans that may benefit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After class, you go to Jamba Juice and get an “Orange-a-Peel” smoothie that contains the following nutrients: 9 g of protein, 102 g carbohydrate, and 1 g of fat. How many total calories does this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448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453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546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After class, you go to Jamba Juice and get an “Orange-a-Peel” smoothie that contains the following nutrients: 9 g of protein, 102 g carbohydrate, and 1 g of fat. Given that the daily value of total fat intake is 65 g, what is the % DV of fat in the smoothie?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woman eats half of a pita bread sandwich filled with tuna salad. The entire sandwich contained 20 grams carbohydrate, 8 grams protein, and 5 grams fat. Approximately how many calories will she obtain?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levels of nutrient intakes listed in the Nutrition Facts panel on packaged foods are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Daily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Tentative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example of an empty-calorie food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dried fruit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 kidney bean in chili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black coffee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cheese twist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nonfat yogurt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65-year-old woman is buying an iron supplement for her “weak blood.” She asks the pharmacist to advise her on the highest amount that she should take daily. What dietary intake standards could the pharmacist use to provide the best recommendation?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Allowances (RDAs)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Intakes (AIs)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Tolerable Upper Intake Levels (ULs)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Average Requirements (EARs)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AIs and 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nutrient is considered nonessential?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potassium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Adults are approximately _____ water by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60-70%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70-80%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of fluids, nutrients, gases, temperature, and other conditions needed to ensure proper functioning of cells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cellular 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disorder is characterized by high levels of the amino acid phenylalanine in the blood and can lead to intellectual disability, poor growth, and other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hemochromatosis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galactosemia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phenylketonuria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Secondary malnutrition is sometimes precipitated by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excessive intake of vitamin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serious vitamin A deficiency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 “ripple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surgical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poor nutritional state that is dietary in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Nutrient-dense foods have _____ levels of nutrients and _____ calorie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water-soluble vitamins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 E, and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B-complex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B-complex and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B-complex, and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fat-soluble vitamins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 E, and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B-complex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B-complex and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B-complex, and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food product ingredient label reads: wheat flour, vegetable shortening, sugar, salt, and cornstarch. What item would contribute the greatest amount of weight in that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wheat flour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cornstarch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vegetable shortening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4"/>
              <w:gridCol w:w="7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NTLC.BRWN.17.1.2 - Apply knowledge about the elements of nutrition labeling to decisions about the nutritional value of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food item could be labeled “enriched”?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4"/>
              <w:gridCol w:w="7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NTLC.BRWN.17.1.2 - Apply knowledge about the elements of nutrition labeling to decisions about the nutritional value of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By law, milk must be fortified with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folic Acid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4"/>
              <w:gridCol w:w="7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NTLC.BRWN.17.1.2 - Apply knowledge about the elements of nutrition labeling to decisions about the nutritional value of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Fiber-like forms of indigestible carbohydrates that support the growth of beneficial bacteria in the lower intestine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refined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probiotics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prebiotics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antibiotics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4"/>
              <w:gridCol w:w="7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NTLC.BRWN.17.1.2 - Apply knowledge about the elements of nutrition labeling to decisions about the nutritional value of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Probiotics may be found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cottage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barley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rye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leeks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garlic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4"/>
              <w:gridCol w:w="7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NTLC.BRWN.17.1.2 - Apply knowledge about the elements of nutrition labeling to decisions about the nutritional value of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tbl>
            <w:tblPr>
              <w:jc w:val="left"/>
              <w:tblBorders>
                <w:top w:val="nil"/>
                <w:left w:val="nil"/>
                <w:bottom w:val="nil"/>
                <w:right w:val="nil"/>
                <w:insideH w:val="nil"/>
                <w:insideV w:val="nil"/>
              </w:tblBorders>
              <w:tblCellMar>
                <w:top w:w="0" w:type="dxa"/>
                <w:left w:w="0" w:type="dxa"/>
                <w:bottom w:w="0" w:type="dxa"/>
                <w:right w:w="0" w:type="dxa"/>
              </w:tblCellMar>
            </w:tblPr>
            <w:tblGrid>
              <w:gridCol w:w="2528"/>
              <w:gridCol w:w="702"/>
              <w:gridCol w:w="18"/>
              <w:gridCol w:w="2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749" w:type="dxa"/>
                  <w:gridSpan w:val="4"/>
                  <w:tcBorders>
                    <w:top w:val="single" w:sz="6" w:space="0" w:color="808080"/>
                    <w:left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both"/>
                  </w:pPr>
                  <w:r>
                    <w:rPr>
                      <w:rStyle w:val="DefaultParagraphFont"/>
                      <w:rFonts w:ascii="Times New Roman" w:eastAsia="Times New Roman" w:hAnsi="Times New Roman" w:cs="Times New Roman"/>
                      <w:b/>
                      <w:bCs/>
                      <w:i w:val="0"/>
                      <w:iCs w:val="0"/>
                      <w:smallCaps w:val="0"/>
                      <w:color w:val="000000"/>
                      <w:sz w:val="22"/>
                      <w:szCs w:val="22"/>
                      <w:bdr w:val="nil"/>
                      <w:rtl w:val="0"/>
                    </w:rPr>
                    <w:t>Nutrition Facts</w:t>
                  </w:r>
                </w:p>
              </w:tc>
            </w:tr>
            <w:tr>
              <w:tblPrEx>
                <w:jc w:val="left"/>
                <w:tblCellMar>
                  <w:top w:w="0" w:type="dxa"/>
                  <w:left w:w="0" w:type="dxa"/>
                  <w:bottom w:w="0" w:type="dxa"/>
                  <w:right w:w="0" w:type="dxa"/>
                </w:tblCellMar>
              </w:tblPrEx>
              <w:trPr>
                <w:cantSplit w:val="0"/>
                <w:jc w:val="left"/>
              </w:trPr>
              <w:tc>
                <w:tcPr>
                  <w:tcW w:w="4749" w:type="dxa"/>
                  <w:gridSpan w:val="4"/>
                  <w:tcBorders>
                    <w:left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Serving Size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cup (40g)</w:t>
                  </w:r>
                </w:p>
              </w:tc>
            </w:tr>
            <w:tr>
              <w:tblPrEx>
                <w:jc w:val="left"/>
                <w:tblCellMar>
                  <w:top w:w="0" w:type="dxa"/>
                  <w:left w:w="0" w:type="dxa"/>
                  <w:bottom w:w="0" w:type="dxa"/>
                  <w:right w:w="0" w:type="dxa"/>
                </w:tblCellMar>
              </w:tblPrEx>
              <w:trPr>
                <w:cantSplit w:val="0"/>
                <w:jc w:val="left"/>
              </w:trPr>
              <w:tc>
                <w:tcPr>
                  <w:tcW w:w="4749" w:type="dxa"/>
                  <w:gridSpan w:val="4"/>
                  <w:tcBorders>
                    <w:top w:val="single" w:sz="6" w:space="0" w:color="808080"/>
                    <w:left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Amount Per Serving</w:t>
                  </w:r>
                </w:p>
              </w:tc>
            </w:tr>
            <w:tr>
              <w:tblPrEx>
                <w:jc w:val="left"/>
                <w:tblCellMar>
                  <w:top w:w="0" w:type="dxa"/>
                  <w:left w:w="0" w:type="dxa"/>
                  <w:bottom w:w="0" w:type="dxa"/>
                  <w:right w:w="0" w:type="dxa"/>
                </w:tblCellMar>
              </w:tblPrEx>
              <w:trPr>
                <w:cantSplit w:val="0"/>
                <w:jc w:val="left"/>
              </w:trPr>
              <w:tc>
                <w:tcPr>
                  <w:tcW w:w="2312" w:type="dxa"/>
                  <w:tcBorders>
                    <w:left w:val="single" w:sz="6" w:space="0" w:color="808080"/>
                    <w:bottom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Calories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170</w:t>
                  </w:r>
                </w:p>
              </w:tc>
              <w:tc>
                <w:tcPr>
                  <w:tcW w:w="2654" w:type="dxa"/>
                  <w:gridSpan w:val="3"/>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Calories from Fat 45</w:t>
                  </w:r>
                </w:p>
              </w:tc>
            </w:tr>
            <w:tr>
              <w:tblPrEx>
                <w:jc w:val="left"/>
                <w:tblCellMar>
                  <w:top w:w="0" w:type="dxa"/>
                  <w:left w:w="0" w:type="dxa"/>
                  <w:bottom w:w="0" w:type="dxa"/>
                  <w:right w:w="0" w:type="dxa"/>
                </w:tblCellMar>
              </w:tblPrEx>
              <w:trPr>
                <w:cantSplit w:val="0"/>
                <w:jc w:val="left"/>
              </w:trPr>
              <w:tc>
                <w:tcPr>
                  <w:tcW w:w="3032" w:type="dxa"/>
                  <w:gridSpan w:val="3"/>
                  <w:tcBorders>
                    <w:left w:val="single" w:sz="6" w:space="0" w:color="808080"/>
                    <w:bottom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 Daily Value*</w:t>
                  </w:r>
                </w:p>
              </w:tc>
            </w:tr>
            <w:tr>
              <w:tblPrEx>
                <w:jc w:val="left"/>
                <w:tblCellMar>
                  <w:top w:w="0" w:type="dxa"/>
                  <w:left w:w="0" w:type="dxa"/>
                  <w:bottom w:w="0" w:type="dxa"/>
                  <w:right w:w="0" w:type="dxa"/>
                </w:tblCellMar>
              </w:tblPrEx>
              <w:trPr>
                <w:cantSplit w:val="0"/>
                <w:jc w:val="left"/>
              </w:trPr>
              <w:tc>
                <w:tcPr>
                  <w:tcW w:w="3032" w:type="dxa"/>
                  <w:gridSpan w:val="3"/>
                  <w:tcBorders>
                    <w:left w:val="single" w:sz="6" w:space="0" w:color="808080"/>
                    <w:bottom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Total Fat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5g</w:t>
                  </w:r>
                </w:p>
              </w:tc>
              <w:tc>
                <w:tcPr>
                  <w:tcW w:w="193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032" w:type="dxa"/>
                  <w:gridSpan w:val="3"/>
                  <w:tcBorders>
                    <w:left w:val="single" w:sz="6" w:space="0" w:color="808080"/>
                    <w:bottom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Saturated Fat 0.5g</w:t>
                  </w:r>
                </w:p>
              </w:tc>
              <w:tc>
                <w:tcPr>
                  <w:tcW w:w="193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032" w:type="dxa"/>
                  <w:gridSpan w:val="3"/>
                  <w:tcBorders>
                    <w:left w:val="single" w:sz="6" w:space="0" w:color="808080"/>
                    <w:bottom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 0g</w:t>
                  </w:r>
                </w:p>
              </w:tc>
              <w:tc>
                <w:tcPr>
                  <w:tcW w:w="193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032" w:type="dxa"/>
                  <w:gridSpan w:val="3"/>
                  <w:tcBorders>
                    <w:left w:val="single" w:sz="6" w:space="0" w:color="808080"/>
                    <w:bottom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Cholesterol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0mg</w:t>
                  </w:r>
                </w:p>
              </w:tc>
              <w:tc>
                <w:tcPr>
                  <w:tcW w:w="193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032" w:type="dxa"/>
                  <w:gridSpan w:val="3"/>
                  <w:tcBorders>
                    <w:left w:val="single" w:sz="6" w:space="0" w:color="808080"/>
                    <w:bottom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Sodium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10mg</w:t>
                  </w:r>
                </w:p>
              </w:tc>
              <w:tc>
                <w:tcPr>
                  <w:tcW w:w="193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032" w:type="dxa"/>
                  <w:gridSpan w:val="3"/>
                  <w:tcBorders>
                    <w:left w:val="single" w:sz="6" w:space="0" w:color="808080"/>
                    <w:bottom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Potassium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310mg</w:t>
                  </w:r>
                </w:p>
              </w:tc>
              <w:tc>
                <w:tcPr>
                  <w:tcW w:w="193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032" w:type="dxa"/>
                  <w:gridSpan w:val="3"/>
                  <w:tcBorders>
                    <w:left w:val="single" w:sz="6" w:space="0" w:color="808080"/>
                    <w:bottom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Total Carbohydrate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31g</w:t>
                  </w:r>
                </w:p>
              </w:tc>
              <w:tc>
                <w:tcPr>
                  <w:tcW w:w="193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032" w:type="dxa"/>
                  <w:gridSpan w:val="3"/>
                  <w:tcBorders>
                    <w:left w:val="single" w:sz="6" w:space="0" w:color="808080"/>
                    <w:bottom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Fiber 2g</w:t>
                  </w:r>
                </w:p>
              </w:tc>
              <w:tc>
                <w:tcPr>
                  <w:tcW w:w="193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032" w:type="dxa"/>
                  <w:gridSpan w:val="3"/>
                  <w:tcBorders>
                    <w:left w:val="single" w:sz="6" w:space="0" w:color="808080"/>
                    <w:bottom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Sugars 29g</w:t>
                  </w:r>
                </w:p>
              </w:tc>
              <w:tc>
                <w:tcPr>
                  <w:tcW w:w="193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032" w:type="dxa"/>
                  <w:gridSpan w:val="3"/>
                  <w:tcBorders>
                    <w:left w:val="single" w:sz="6" w:space="0" w:color="808080"/>
                    <w:bottom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Protein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1g</w:t>
                  </w:r>
                </w:p>
              </w:tc>
              <w:tc>
                <w:tcPr>
                  <w:tcW w:w="193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312" w:type="dxa"/>
                  <w:tcBorders>
                    <w:left w:val="single" w:sz="6" w:space="0" w:color="808080"/>
                    <w:bottom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A 0%</w:t>
                  </w:r>
                </w:p>
              </w:tc>
              <w:tc>
                <w:tcPr>
                  <w:tcW w:w="486" w:type="dxa"/>
                  <w:tcBorders>
                    <w:bottom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84" w:type="dxa"/>
                  <w:gridSpan w:val="2"/>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Iron 6%</w:t>
                  </w:r>
                </w:p>
              </w:tc>
            </w:tr>
            <w:tr>
              <w:tblPrEx>
                <w:jc w:val="left"/>
                <w:tblCellMar>
                  <w:top w:w="0" w:type="dxa"/>
                  <w:left w:w="0" w:type="dxa"/>
                  <w:bottom w:w="0" w:type="dxa"/>
                  <w:right w:w="0" w:type="dxa"/>
                </w:tblCellMar>
              </w:tblPrEx>
              <w:trPr>
                <w:cantSplit w:val="0"/>
                <w:jc w:val="left"/>
              </w:trPr>
              <w:tc>
                <w:tcPr>
                  <w:tcW w:w="2312" w:type="dxa"/>
                  <w:tcBorders>
                    <w:left w:val="single" w:sz="6" w:space="0" w:color="808080"/>
                    <w:bottom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 2%</w:t>
                  </w:r>
                </w:p>
              </w:tc>
              <w:tc>
                <w:tcPr>
                  <w:tcW w:w="486" w:type="dxa"/>
                  <w:tcBorders>
                    <w:bottom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84" w:type="dxa"/>
                  <w:gridSpan w:val="2"/>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percent of calories from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4"/>
              <w:gridCol w:w="7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NTLC.BRWN.17.1.2 - Apply knowledge about the elements of nutrition labeling to decisions about the nutritional value of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mandatory nutrient is missing from the food label?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Unsaturated 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Simple sugars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Biotin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4"/>
              <w:gridCol w:w="7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NTLC.BRWN.17.1.2 - Apply knowledge about the elements of nutrition labeling to decisions about the nutritional value of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 Daily Values on the Nutrition Facts label are based on a _____-calorie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4"/>
              <w:gridCol w:w="7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NTLC.BRWN.17.1.2 - Apply knowledge about the elements of nutrition labeling to decisions about the nutritional value of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Foods permitted for consumption according to Islamic dietary laws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called kosher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called halal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 alcoholic beverages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 not include meats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 pork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Life-Course Approach to Nutrition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NTLC.BRWN.17.1.3 - Cite two examples of how nutrient needs change during the life cycle and how nutritional status at one stage during the life cycle can influence health status during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correctly describes nutritional needs during the life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Healthy individuals require different nutrients depending on their stage in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nutrients healthy individuals require is constant throughout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Mediterranean diet is the best diet for meeting nutritional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status at one stage in life influences the health status in the next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requirements are independent of growth and development of the individual.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Life-Course Approach to Nutrition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NTLC.BRWN.17.1.3 - Cite two examples of how nutrient needs change during the life cycle and how nutritional status at one stage during the life cycle can influence health status during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reflects the most accurate assessment of dietary intake?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older adult weighing herself at home in the morning and before bedtime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new breastfeeding mom recording what she ate over the past 24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dietitian interviewing a woman about what she ate over the past 24 hours and verifying her responses with a crosscheck food frequency questionnaire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physician asking the height of an 80-year-old male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physician assessing a patient’s physical characteristics, such as brittle hair, to identify nutrition-related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2"/>
              <w:gridCol w:w="6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NTLC.BRWN.17.1.4 - Describe the components of individual-level 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terms refers to the repeated use of questions that hone the accuracy of information provided by interviewees about the food they ate the previous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narrative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pass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24-hour recall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2"/>
              <w:gridCol w:w="6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NTLC.BRWN.17.1.4 - Describe the components of individual-level 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Healthy Eating Index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assigns scores based on the extent to which diets meet recommended standards of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assesses a person’s dietary intake based on 12 dietary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primarily used for monitoring an individual’s dietary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bases its guidelines on Food and Drug Administration dietary restrictions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be used for research purposes to assess population dietary 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2"/>
              <w:gridCol w:w="6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NTLC.BRWN.17.1.4 - Describe the components of individual-level 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anthropometric measurement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number of servings of fruit an individual eats in a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amount of fat in a serving of ice cream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height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percentage of a population that meets dietary intake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 daily value of vitamin C in orange juice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2"/>
              <w:gridCol w:w="6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NTLC.BRWN.17.1.4 - Describe the components of individual-level 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young child who tires easily and has a short attention span may have blood taken for analyses of hemoglobin and serum ferritin to assess _____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2"/>
              <w:gridCol w:w="6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NTLC.BRWN.17.1.4 - Describe the components of individual-level 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assessment of nutritional status for the purpose of detecting changes in trend or distribution in order to initiate corrective measures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automated multiple-pass method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biochemical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surveillance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2"/>
              <w:gridCol w:w="6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NTLC.BRWN.17.1.4 - Describe the components of individual-level 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national food and nutrition programs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Lunch Program is the U.S.’s largest food assistance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Women with incomes above the poverty line are automatically ineligible for WIC.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USDA food assistance programs have been shown to be cost-effective.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WIC vouchers can be exchanged for peanut butter, fruits, and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WIC provides food vouchers for low-income men and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4"/>
              <w:gridCol w:w="6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Food and Nutrition Programs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NTLC.BRWN.17.1.5 - Identify the basic elements of four public food and nutrition programs.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2015 Dietary Guidelines for Americans, cholesterol intake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be increased in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be increased in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be increased in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be decreased in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considered a nutrient of concern for overconsumption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0"/>
              <w:gridCol w:w="6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and Health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NTLC.BRWN.17.1.6 - Apply the characteristics of healthful diets to the design of 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Dietary Guidelines for Americans must be updated every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0"/>
              <w:gridCol w:w="6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and Health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NTLC.BRWN.17.1.6 - Apply the characteristics of healthful diets to the design of 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Healthy dietary patterns include the regular consumption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refined grain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types of nuts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processed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tropical oils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foods high in saturated fats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0"/>
              <w:gridCol w:w="6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and Health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NTLC.BRWN.17.1.6 - Apply the characteristics of healthful diets to the design of 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7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unit of measure of the amount of energy supplied in food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 substance that prevents or repairs damage to cells caused by oxidation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chemical changes that take place in the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building blocks of proteins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 substances that activate enzymes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 substances used by the body for growth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 blood pressure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fat-like substance found in all animal cell membranes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making a vegetable oil solid by adding hydrogen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type of unsaturated fat present in hydrogenated oils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Calorie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Coenzyme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Hydrogenation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Trans fat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Antioxidant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Amino acids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connection between energy-dense and empty-calorie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energy-dense foods are nutrient poor, or contain low levels of nutrients given their caloric value. These foods are sometimes referred to as empty-calorie foods and include products such as soft drinks, sherbet, hard candy, alcohol, and cheese twists. Excess intake of energy-dense and empty-calorie foods increases the likelihood that caloric needs will be met or exceeded before nutrients needs are met.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“ripple effect” relating to nutrient intake.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changes affect the level of intake of many nutrients. Switching from a high-fat to a low-fat diet, for instance, may result in a lower intake of calories and higher intake of dietary fiber and vitamins. Consequently, dietary changes introduced for the purpose of improving intake of a particular nutrient produce a “ripple effect” on the intake of other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NTLC.BRWN.17.1.1 - Demonstrate a working knowledge of the meaning of the 10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 Nutrition Basics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Nutrition Basics</dc:title>
  <cp:revision>0</cp:revision>
</cp:coreProperties>
</file>